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5B" w:rsidRDefault="00BF6793" w:rsidP="00CD5028">
      <w:pPr>
        <w:rPr>
          <w:rFonts w:ascii="Garamond" w:hAnsi="Garamond"/>
        </w:rPr>
      </w:pPr>
      <w:r w:rsidRPr="00BF6793">
        <w:rPr>
          <w:rFonts w:ascii="Times New Roman" w:hAnsi="Times New Roman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3.3pt;margin-top:9.25pt;width:291.5pt;height:35.55pt;z-index:251658240;mso-height-percent:200;mso-height-percent:200;mso-width-relative:margin;mso-height-relative:margin" strokecolor="white [3212]">
            <v:textbox style="mso-fit-shape-to-text:t">
              <w:txbxContent>
                <w:p w:rsidR="00CD5028" w:rsidRDefault="00CD5028" w:rsidP="00CD5028">
                  <w:pPr>
                    <w:jc w:val="right"/>
                  </w:pPr>
                  <w:proofErr w:type="gramStart"/>
                  <w:r>
                    <w:t>National Forum for Occupational Therapy in the Public Sector.</w:t>
                  </w:r>
                  <w:proofErr w:type="gramEnd"/>
                  <w:r>
                    <w:t xml:space="preserve"> </w:t>
                  </w:r>
                </w:p>
              </w:txbxContent>
            </v:textbox>
          </v:shape>
        </w:pict>
      </w:r>
      <w:r w:rsidR="00CD5028" w:rsidRPr="00BF6793">
        <w:rPr>
          <w:rFonts w:cs="Arial"/>
          <w:b/>
          <w:color w:val="000000"/>
          <w:sz w:val="28"/>
          <w:szCs w:val="24"/>
        </w:rPr>
        <w:object w:dxaOrig="1680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29pt" o:ole="" fillcolor="window">
            <v:imagedata r:id="rId5" o:title=""/>
          </v:shape>
          <o:OLEObject Type="Embed" ProgID="Word.Picture.8" ShapeID="_x0000_i1025" DrawAspect="Content" ObjectID="_1383479234" r:id="rId6"/>
        </w:object>
      </w:r>
    </w:p>
    <w:p w:rsidR="002F135B" w:rsidRDefault="002F135B" w:rsidP="00CD5028">
      <w:pPr>
        <w:rPr>
          <w:rFonts w:ascii="Garamond" w:hAnsi="Garamond"/>
        </w:rPr>
      </w:pPr>
    </w:p>
    <w:p w:rsidR="002F135B" w:rsidRDefault="002F135B" w:rsidP="00CD5028">
      <w:pPr>
        <w:rPr>
          <w:rFonts w:ascii="Garamond" w:hAnsi="Garamond"/>
        </w:rPr>
      </w:pPr>
    </w:p>
    <w:p w:rsidR="002F135B" w:rsidRDefault="002F135B" w:rsidP="00CD5028">
      <w:pPr>
        <w:rPr>
          <w:rFonts w:ascii="Garamond" w:hAnsi="Garamond"/>
        </w:rPr>
      </w:pPr>
    </w:p>
    <w:p w:rsidR="002F135B" w:rsidRDefault="002F135B" w:rsidP="00CD5028">
      <w:pPr>
        <w:rPr>
          <w:rFonts w:ascii="Garamond" w:hAnsi="Garamond"/>
        </w:rPr>
      </w:pPr>
    </w:p>
    <w:p w:rsidR="002F135B" w:rsidRDefault="002F135B" w:rsidP="00CD5028">
      <w:pPr>
        <w:rPr>
          <w:rFonts w:ascii="Garamond" w:hAnsi="Garamond"/>
        </w:rPr>
      </w:pPr>
    </w:p>
    <w:p w:rsidR="002F135B" w:rsidRDefault="002F135B" w:rsidP="00CD5028">
      <w:pPr>
        <w:rPr>
          <w:rFonts w:ascii="Garamond" w:hAnsi="Garamond"/>
        </w:rPr>
      </w:pPr>
    </w:p>
    <w:p w:rsidR="002F135B" w:rsidRDefault="002F135B" w:rsidP="00CD5028">
      <w:pPr>
        <w:jc w:val="center"/>
        <w:rPr>
          <w:rFonts w:ascii="Garamond" w:hAnsi="Garamond"/>
          <w:sz w:val="48"/>
        </w:rPr>
      </w:pPr>
      <w:r>
        <w:rPr>
          <w:rFonts w:ascii="Garamond" w:hAnsi="Garamond"/>
          <w:sz w:val="48"/>
        </w:rPr>
        <w:t>Occupational Therapy</w:t>
      </w:r>
    </w:p>
    <w:p w:rsidR="002F135B" w:rsidRDefault="002F135B" w:rsidP="00CD5028">
      <w:pPr>
        <w:jc w:val="center"/>
        <w:rPr>
          <w:rFonts w:ascii="Garamond" w:hAnsi="Garamond"/>
          <w:sz w:val="48"/>
        </w:rPr>
      </w:pPr>
      <w:r>
        <w:rPr>
          <w:rFonts w:ascii="Garamond" w:hAnsi="Garamond"/>
          <w:sz w:val="48"/>
        </w:rPr>
        <w:t>Public sector Health services:</w:t>
      </w:r>
    </w:p>
    <w:p w:rsidR="002F135B" w:rsidRDefault="002F135B" w:rsidP="00CD5028">
      <w:pPr>
        <w:jc w:val="center"/>
        <w:rPr>
          <w:rFonts w:ascii="Garamond" w:hAnsi="Garamond"/>
          <w:sz w:val="48"/>
        </w:rPr>
      </w:pPr>
    </w:p>
    <w:p w:rsidR="002F135B" w:rsidRDefault="002F135B" w:rsidP="00CD5028">
      <w:pPr>
        <w:jc w:val="center"/>
        <w:rPr>
          <w:rFonts w:ascii="Garamond" w:hAnsi="Garamond"/>
          <w:sz w:val="48"/>
        </w:rPr>
      </w:pPr>
      <w:r>
        <w:rPr>
          <w:rFonts w:ascii="Garamond" w:hAnsi="Garamond"/>
          <w:sz w:val="48"/>
        </w:rPr>
        <w:t>Staffing norms</w:t>
      </w:r>
    </w:p>
    <w:p w:rsidR="002F135B" w:rsidRDefault="002F135B" w:rsidP="00CD5028">
      <w:pPr>
        <w:jc w:val="center"/>
        <w:rPr>
          <w:rFonts w:ascii="Garamond" w:hAnsi="Garamond"/>
          <w:sz w:val="48"/>
        </w:rPr>
      </w:pPr>
    </w:p>
    <w:p w:rsidR="002F135B" w:rsidRDefault="002F135B" w:rsidP="00CD5028">
      <w:pPr>
        <w:rPr>
          <w:rFonts w:ascii="Garamond" w:hAnsi="Garamond"/>
        </w:rPr>
      </w:pPr>
    </w:p>
    <w:p w:rsidR="002F135B" w:rsidRDefault="002F135B" w:rsidP="00CD5028">
      <w:pPr>
        <w:rPr>
          <w:rFonts w:ascii="Garamond" w:hAnsi="Garamond"/>
        </w:rPr>
      </w:pPr>
    </w:p>
    <w:p w:rsidR="002F135B" w:rsidRDefault="002F135B" w:rsidP="00CD5028">
      <w:pPr>
        <w:rPr>
          <w:rFonts w:ascii="Garamond" w:hAnsi="Garamond"/>
        </w:rPr>
      </w:pPr>
    </w:p>
    <w:p w:rsidR="002F135B" w:rsidRDefault="002F135B" w:rsidP="00CD5028">
      <w:pPr>
        <w:jc w:val="right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Developed by:</w:t>
      </w:r>
    </w:p>
    <w:p w:rsidR="002F135B" w:rsidRDefault="002F135B" w:rsidP="00CD5028">
      <w:pPr>
        <w:jc w:val="right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Gauteng Health Occupational Therapy</w:t>
      </w:r>
    </w:p>
    <w:p w:rsidR="002F135B" w:rsidRDefault="002F135B" w:rsidP="00CD5028">
      <w:pPr>
        <w:jc w:val="right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On behalf of the National Occupational Therapy forum</w:t>
      </w:r>
    </w:p>
    <w:p w:rsidR="002F135B" w:rsidRDefault="002F135B" w:rsidP="00CD5028">
      <w:pPr>
        <w:jc w:val="right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September 2000</w:t>
      </w:r>
    </w:p>
    <w:p w:rsidR="002F135B" w:rsidRDefault="002F135B" w:rsidP="00CD5028">
      <w:pPr>
        <w:jc w:val="right"/>
        <w:rPr>
          <w:rFonts w:ascii="Garamond" w:hAnsi="Garamond"/>
          <w:sz w:val="18"/>
        </w:rPr>
      </w:pPr>
    </w:p>
    <w:p w:rsidR="002F135B" w:rsidRDefault="002F135B" w:rsidP="00CD5028">
      <w:pPr>
        <w:jc w:val="right"/>
        <w:rPr>
          <w:rFonts w:ascii="Garamond" w:hAnsi="Garamond"/>
          <w:sz w:val="18"/>
        </w:rPr>
      </w:pPr>
    </w:p>
    <w:p w:rsidR="002F135B" w:rsidRDefault="002F135B" w:rsidP="00CD5028">
      <w:pPr>
        <w:rPr>
          <w:rFonts w:ascii="Garamond" w:hAnsi="Garamond"/>
        </w:rPr>
      </w:pPr>
    </w:p>
    <w:p w:rsidR="008A0154" w:rsidRDefault="008A0154">
      <w:pPr>
        <w:pStyle w:val="Heading6"/>
      </w:pPr>
    </w:p>
    <w:p w:rsidR="002F135B" w:rsidRDefault="002F135B">
      <w:pPr>
        <w:pStyle w:val="Heading6"/>
      </w:pPr>
      <w:r>
        <w:t>Table of content</w:t>
      </w:r>
    </w:p>
    <w:p w:rsidR="002F135B" w:rsidRDefault="002F135B">
      <w:pPr>
        <w:rPr>
          <w:rFonts w:ascii="Garamond" w:hAnsi="Garamond"/>
        </w:rPr>
      </w:pPr>
    </w:p>
    <w:p w:rsidR="002F135B" w:rsidRDefault="002F135B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Introduction</w:t>
      </w:r>
    </w:p>
    <w:p w:rsidR="002F135B" w:rsidRDefault="002F135B">
      <w:pPr>
        <w:rPr>
          <w:rFonts w:ascii="Garamond" w:hAnsi="Garamond"/>
        </w:rPr>
      </w:pPr>
    </w:p>
    <w:p w:rsidR="002F135B" w:rsidRDefault="002F135B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Guidelines for the use of the norms.</w:t>
      </w:r>
    </w:p>
    <w:p w:rsidR="002F135B" w:rsidRDefault="002F135B">
      <w:pPr>
        <w:numPr>
          <w:ilvl w:val="0"/>
          <w:numId w:val="7"/>
        </w:numPr>
        <w:ind w:left="643"/>
        <w:rPr>
          <w:rFonts w:ascii="Garamond" w:hAnsi="Garamond"/>
        </w:rPr>
      </w:pPr>
      <w:r>
        <w:rPr>
          <w:rFonts w:ascii="Garamond" w:hAnsi="Garamond"/>
        </w:rPr>
        <w:t>Community services</w:t>
      </w:r>
    </w:p>
    <w:p w:rsidR="002F135B" w:rsidRDefault="002F135B">
      <w:pPr>
        <w:numPr>
          <w:ilvl w:val="0"/>
          <w:numId w:val="7"/>
        </w:numPr>
        <w:ind w:left="643"/>
        <w:rPr>
          <w:rFonts w:ascii="Garamond" w:hAnsi="Garamond"/>
        </w:rPr>
      </w:pPr>
      <w:r>
        <w:rPr>
          <w:rFonts w:ascii="Garamond" w:hAnsi="Garamond"/>
        </w:rPr>
        <w:t>Table 1 – Calculation table</w:t>
      </w:r>
    </w:p>
    <w:p w:rsidR="002F135B" w:rsidRDefault="002F135B">
      <w:pPr>
        <w:numPr>
          <w:ilvl w:val="0"/>
          <w:numId w:val="7"/>
        </w:numPr>
        <w:ind w:left="643"/>
        <w:rPr>
          <w:rFonts w:ascii="Garamond" w:hAnsi="Garamond"/>
        </w:rPr>
      </w:pPr>
      <w:r>
        <w:rPr>
          <w:rFonts w:ascii="Garamond" w:hAnsi="Garamond"/>
        </w:rPr>
        <w:t>Hospital services</w:t>
      </w:r>
    </w:p>
    <w:p w:rsidR="002F135B" w:rsidRDefault="002F135B">
      <w:pPr>
        <w:numPr>
          <w:ilvl w:val="0"/>
          <w:numId w:val="7"/>
        </w:numPr>
        <w:ind w:left="643"/>
        <w:rPr>
          <w:rFonts w:ascii="Garamond" w:hAnsi="Garamond"/>
        </w:rPr>
      </w:pPr>
      <w:r>
        <w:rPr>
          <w:rFonts w:ascii="Garamond" w:hAnsi="Garamond"/>
        </w:rPr>
        <w:t>Table 2 – Calculation table</w:t>
      </w:r>
    </w:p>
    <w:p w:rsidR="002F135B" w:rsidRDefault="002F135B">
      <w:pPr>
        <w:ind w:left="360"/>
        <w:rPr>
          <w:rFonts w:ascii="Garamond" w:hAnsi="Garamond"/>
        </w:rPr>
      </w:pPr>
    </w:p>
    <w:p w:rsidR="002F135B" w:rsidRDefault="002F135B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Table 3 – Indicators</w:t>
      </w:r>
    </w:p>
    <w:p w:rsidR="002F135B" w:rsidRDefault="002F135B">
      <w:pPr>
        <w:rPr>
          <w:rFonts w:ascii="Garamond" w:hAnsi="Garamond"/>
        </w:rPr>
      </w:pPr>
    </w:p>
    <w:p w:rsidR="002F135B" w:rsidRDefault="002F135B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Table 4 – Census data.</w:t>
      </w:r>
    </w:p>
    <w:p w:rsidR="002F135B" w:rsidRDefault="002F135B">
      <w:pPr>
        <w:rPr>
          <w:rFonts w:ascii="Garamond" w:hAnsi="Garamond"/>
        </w:rPr>
      </w:pPr>
    </w:p>
    <w:p w:rsidR="002F135B" w:rsidRDefault="002F135B">
      <w:pPr>
        <w:rPr>
          <w:rFonts w:ascii="Garamond" w:hAnsi="Garamond"/>
        </w:rPr>
      </w:pPr>
    </w:p>
    <w:p w:rsidR="002F135B" w:rsidRDefault="002F135B">
      <w:pPr>
        <w:rPr>
          <w:rFonts w:ascii="Garamond" w:hAnsi="Garamond"/>
        </w:rPr>
      </w:pPr>
    </w:p>
    <w:p w:rsidR="002F135B" w:rsidRDefault="002F135B">
      <w:pPr>
        <w:rPr>
          <w:rFonts w:ascii="Garamond" w:hAnsi="Garamond"/>
        </w:rPr>
      </w:pPr>
    </w:p>
    <w:p w:rsidR="002F135B" w:rsidRDefault="002F135B">
      <w:pPr>
        <w:rPr>
          <w:rFonts w:ascii="Garamond" w:hAnsi="Garamond"/>
        </w:rPr>
      </w:pPr>
    </w:p>
    <w:p w:rsidR="002F135B" w:rsidRDefault="002F135B">
      <w:pPr>
        <w:rPr>
          <w:rFonts w:ascii="Garamond" w:hAnsi="Garamond"/>
        </w:rPr>
      </w:pPr>
    </w:p>
    <w:p w:rsidR="002F135B" w:rsidRDefault="002F135B">
      <w:pPr>
        <w:rPr>
          <w:rFonts w:ascii="Garamond" w:hAnsi="Garamond"/>
        </w:rPr>
      </w:pPr>
    </w:p>
    <w:p w:rsidR="002F135B" w:rsidRDefault="002F135B">
      <w:pPr>
        <w:rPr>
          <w:rFonts w:ascii="Garamond" w:hAnsi="Garamond"/>
        </w:rPr>
      </w:pPr>
    </w:p>
    <w:p w:rsidR="009107E8" w:rsidRDefault="009107E8">
      <w:pPr>
        <w:rPr>
          <w:rFonts w:ascii="Garamond" w:hAnsi="Garamond"/>
        </w:rPr>
      </w:pPr>
    </w:p>
    <w:p w:rsidR="009107E8" w:rsidRDefault="009107E8">
      <w:pPr>
        <w:rPr>
          <w:rFonts w:ascii="Garamond" w:hAnsi="Garamond"/>
        </w:rPr>
      </w:pPr>
    </w:p>
    <w:p w:rsidR="009107E8" w:rsidRDefault="009107E8">
      <w:pPr>
        <w:rPr>
          <w:rFonts w:ascii="Garamond" w:hAnsi="Garamond"/>
        </w:rPr>
      </w:pPr>
    </w:p>
    <w:p w:rsidR="008A0154" w:rsidRDefault="008A0154" w:rsidP="008A0154">
      <w:pPr>
        <w:pStyle w:val="Heading1"/>
        <w:rPr>
          <w:rFonts w:ascii="Garamond" w:hAnsi="Garamond"/>
          <w:b/>
        </w:rPr>
      </w:pPr>
      <w:r>
        <w:rPr>
          <w:rFonts w:ascii="Garamond" w:hAnsi="Garamond"/>
          <w:b/>
        </w:rPr>
        <w:t>Introduction</w:t>
      </w:r>
    </w:p>
    <w:p w:rsidR="008A0154" w:rsidRDefault="008A0154" w:rsidP="008A0154">
      <w:pPr>
        <w:rPr>
          <w:rFonts w:ascii="Garamond" w:hAnsi="Garamond"/>
        </w:rPr>
      </w:pPr>
    </w:p>
    <w:p w:rsidR="008A0154" w:rsidRDefault="008A0154" w:rsidP="008A0154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The need has existed for many years to develop minimum staffing norms for Occupational Therapy in provincial health services.</w:t>
      </w:r>
    </w:p>
    <w:p w:rsidR="008A0154" w:rsidRDefault="008A0154" w:rsidP="008A0154">
      <w:pPr>
        <w:rPr>
          <w:rFonts w:ascii="Garamond" w:hAnsi="Garamond"/>
          <w:sz w:val="22"/>
        </w:rPr>
      </w:pPr>
    </w:p>
    <w:p w:rsidR="008A0154" w:rsidRDefault="008A0154" w:rsidP="008A0154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The National Occupational Therapy forum tasked Gauteng Health Occupational Therapy to develop basic staffing norms. Contributions from other provinces were included in this document. </w:t>
      </w:r>
    </w:p>
    <w:p w:rsidR="008A0154" w:rsidRDefault="008A0154" w:rsidP="008A0154">
      <w:pPr>
        <w:pStyle w:val="BodyText"/>
        <w:rPr>
          <w:rFonts w:ascii="Garamond" w:hAnsi="Garamond"/>
        </w:rPr>
      </w:pPr>
    </w:p>
    <w:p w:rsidR="008A0154" w:rsidRDefault="008A0154" w:rsidP="008A0154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Financial constraints were considered during this process. </w:t>
      </w:r>
    </w:p>
    <w:p w:rsidR="008A0154" w:rsidRDefault="008A0154" w:rsidP="008A0154">
      <w:pPr>
        <w:pStyle w:val="BodyText"/>
        <w:rPr>
          <w:rFonts w:ascii="Garamond" w:hAnsi="Garamond"/>
        </w:rPr>
      </w:pPr>
    </w:p>
    <w:p w:rsidR="008A0154" w:rsidRDefault="008A0154" w:rsidP="008A0154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When using this document, it is important to take cognisance of the following: </w:t>
      </w:r>
    </w:p>
    <w:p w:rsidR="008A0154" w:rsidRDefault="008A0154" w:rsidP="008A0154">
      <w:pPr>
        <w:pStyle w:val="BodyText"/>
        <w:rPr>
          <w:rFonts w:ascii="Garamond" w:hAnsi="Garamond"/>
        </w:rPr>
      </w:pPr>
    </w:p>
    <w:p w:rsidR="008A0154" w:rsidRDefault="008A0154" w:rsidP="008A0154">
      <w:pPr>
        <w:pStyle w:val="BodyText"/>
        <w:numPr>
          <w:ilvl w:val="0"/>
          <w:numId w:val="10"/>
        </w:numPr>
        <w:rPr>
          <w:rFonts w:ascii="Garamond" w:hAnsi="Garamond"/>
        </w:rPr>
      </w:pPr>
      <w:r>
        <w:rPr>
          <w:rFonts w:ascii="Garamond" w:hAnsi="Garamond"/>
        </w:rPr>
        <w:t xml:space="preserve">It must at all time reflect trends and policies in Health care. </w:t>
      </w:r>
    </w:p>
    <w:p w:rsidR="008A0154" w:rsidRDefault="008A0154" w:rsidP="008A0154">
      <w:pPr>
        <w:pStyle w:val="BodyText"/>
        <w:numPr>
          <w:ilvl w:val="0"/>
          <w:numId w:val="10"/>
        </w:numPr>
        <w:rPr>
          <w:rFonts w:ascii="Garamond" w:hAnsi="Garamond"/>
        </w:rPr>
      </w:pPr>
      <w:r>
        <w:rPr>
          <w:rFonts w:ascii="Garamond" w:hAnsi="Garamond"/>
        </w:rPr>
        <w:t xml:space="preserve">Occupational Therapy is a dynamic profession and staffing norms </w:t>
      </w:r>
      <w:proofErr w:type="spellStart"/>
      <w:r>
        <w:rPr>
          <w:rFonts w:ascii="Garamond" w:hAnsi="Garamond"/>
        </w:rPr>
        <w:t>can not</w:t>
      </w:r>
      <w:proofErr w:type="spellEnd"/>
      <w:r>
        <w:rPr>
          <w:rFonts w:ascii="Garamond" w:hAnsi="Garamond"/>
        </w:rPr>
        <w:t xml:space="preserve"> remain static. Staffing norms have to reflect specific developments in the profession. This implies that this document should be regularly reviewed, changed and updated. </w:t>
      </w:r>
    </w:p>
    <w:p w:rsidR="008A0154" w:rsidRDefault="008A0154" w:rsidP="008A0154">
      <w:pPr>
        <w:pStyle w:val="BodyText"/>
        <w:numPr>
          <w:ilvl w:val="0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 xml:space="preserve">Some flexibility should be allowed for to compensate for subtle differences between provinces and institutions. </w:t>
      </w:r>
    </w:p>
    <w:p w:rsidR="008A0154" w:rsidRDefault="008A0154" w:rsidP="008A0154">
      <w:pPr>
        <w:pStyle w:val="BodyText"/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 xml:space="preserve">Minimum staffing levels for a comprehensive Occupational Therapy service in a specific area are reflected here. This implies that a comprehensive service </w:t>
      </w:r>
      <w:proofErr w:type="spellStart"/>
      <w:r>
        <w:rPr>
          <w:rFonts w:ascii="Garamond" w:hAnsi="Garamond"/>
        </w:rPr>
        <w:t>can not</w:t>
      </w:r>
      <w:proofErr w:type="spellEnd"/>
      <w:r>
        <w:rPr>
          <w:rFonts w:ascii="Garamond" w:hAnsi="Garamond"/>
        </w:rPr>
        <w:t xml:space="preserve"> be maintained in the event of staff losses and might run the risk of being terminated. </w:t>
      </w:r>
    </w:p>
    <w:p w:rsidR="008A0154" w:rsidRDefault="008A0154" w:rsidP="008A0154">
      <w:pPr>
        <w:pStyle w:val="BodyText"/>
        <w:rPr>
          <w:rFonts w:ascii="Garamond" w:hAnsi="Garamond"/>
        </w:rPr>
      </w:pPr>
    </w:p>
    <w:p w:rsidR="008A0154" w:rsidRDefault="008A0154" w:rsidP="008A0154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This guideline should be used in consultation with health authorities for posts. </w:t>
      </w:r>
    </w:p>
    <w:p w:rsidR="008A0154" w:rsidRDefault="008A0154" w:rsidP="008A0154">
      <w:pPr>
        <w:pStyle w:val="BodyText"/>
        <w:rPr>
          <w:rFonts w:ascii="Garamond" w:hAnsi="Garamond"/>
        </w:rPr>
      </w:pPr>
    </w:p>
    <w:p w:rsidR="008A0154" w:rsidRDefault="008A0154" w:rsidP="008A0154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Two sets of staffing norms have been developed. One set refers to hospital services and the second set to community services. </w:t>
      </w:r>
    </w:p>
    <w:p w:rsidR="008A0154" w:rsidRDefault="008A0154" w:rsidP="008A0154">
      <w:pPr>
        <w:pStyle w:val="BodyText"/>
        <w:rPr>
          <w:rFonts w:ascii="Garamond" w:hAnsi="Garamond"/>
        </w:rPr>
      </w:pPr>
    </w:p>
    <w:p w:rsidR="008A0154" w:rsidRDefault="008A0154" w:rsidP="008A0154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It is foreseen that further refinement of this document should take place during a second phase i.e. Specific ratios for the different Medical disciplines in each of the three levels. Detailed ratios for psychiatry have already been developed by the Western Cape Occupational Therapists. </w:t>
      </w:r>
    </w:p>
    <w:p w:rsidR="008A0154" w:rsidRDefault="008A0154" w:rsidP="008A0154">
      <w:pPr>
        <w:pStyle w:val="BodyText"/>
        <w:rPr>
          <w:rFonts w:ascii="Garamond" w:hAnsi="Garamond"/>
        </w:rPr>
      </w:pPr>
    </w:p>
    <w:p w:rsidR="008A0154" w:rsidRDefault="008A0154" w:rsidP="008A0154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Ongoing contributions to the document will be appreciated. </w:t>
      </w:r>
    </w:p>
    <w:p w:rsidR="008A0154" w:rsidRDefault="008A0154" w:rsidP="008A0154">
      <w:pPr>
        <w:pStyle w:val="Heading3"/>
        <w:rPr>
          <w:rFonts w:ascii="Garamond" w:hAnsi="Garamond"/>
          <w:sz w:val="28"/>
        </w:rPr>
      </w:pPr>
    </w:p>
    <w:p w:rsidR="008A0154" w:rsidRDefault="008A0154" w:rsidP="008A0154"/>
    <w:p w:rsidR="008A0154" w:rsidRDefault="008A0154" w:rsidP="008A0154">
      <w:pPr>
        <w:pStyle w:val="Heading7"/>
      </w:pPr>
      <w:r>
        <w:t>Guide for the use of this document</w:t>
      </w:r>
    </w:p>
    <w:p w:rsidR="008A0154" w:rsidRDefault="008A0154" w:rsidP="008A0154">
      <w:pPr>
        <w:rPr>
          <w:rFonts w:ascii="Garamond" w:hAnsi="Garamond"/>
        </w:rPr>
      </w:pPr>
    </w:p>
    <w:p w:rsidR="008A0154" w:rsidRDefault="008A0154" w:rsidP="008A0154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Users to familiarise themselves with the indicators and their application. See table 3 </w:t>
      </w:r>
    </w:p>
    <w:p w:rsidR="008A0154" w:rsidRDefault="008A0154" w:rsidP="008A0154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Obtain figures as required by indicators (For the benefit of the user critical figures from the 1996 census are included.) See Table 4.  </w:t>
      </w:r>
    </w:p>
    <w:p w:rsidR="008A0154" w:rsidRDefault="008A0154" w:rsidP="008A0154">
      <w:pPr>
        <w:rPr>
          <w:rFonts w:ascii="Garamond" w:hAnsi="Garamond"/>
        </w:rPr>
      </w:pPr>
    </w:p>
    <w:p w:rsidR="008A0154" w:rsidRDefault="008A0154" w:rsidP="008A0154">
      <w:pPr>
        <w:rPr>
          <w:rFonts w:ascii="Garamond" w:hAnsi="Garamond"/>
        </w:rPr>
      </w:pPr>
      <w:r>
        <w:rPr>
          <w:rFonts w:ascii="Garamond" w:hAnsi="Garamond"/>
        </w:rPr>
        <w:t>The following tables have been included to assist you in calculating the staff numbers for your province and/or hospital.</w:t>
      </w:r>
    </w:p>
    <w:p w:rsidR="009107E8" w:rsidRDefault="009107E8" w:rsidP="008A0154">
      <w:pPr>
        <w:rPr>
          <w:rFonts w:ascii="Garamond" w:hAnsi="Garamond"/>
        </w:rPr>
      </w:pPr>
    </w:p>
    <w:p w:rsidR="009107E8" w:rsidRDefault="009107E8" w:rsidP="009107E8">
      <w:pPr>
        <w:pStyle w:val="Heading5"/>
      </w:pPr>
      <w:r>
        <w:t>Community services</w:t>
      </w:r>
    </w:p>
    <w:p w:rsidR="009107E8" w:rsidRDefault="009107E8" w:rsidP="009107E8">
      <w:pPr>
        <w:numPr>
          <w:ilvl w:val="0"/>
          <w:numId w:val="1"/>
        </w:num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Calculations of community services:</w:t>
      </w:r>
    </w:p>
    <w:p w:rsidR="009107E8" w:rsidRDefault="009107E8" w:rsidP="009107E8">
      <w:pPr>
        <w:numPr>
          <w:ilvl w:val="0"/>
          <w:numId w:val="3"/>
        </w:numPr>
        <w:tabs>
          <w:tab w:val="clear" w:pos="360"/>
          <w:tab w:val="num" w:pos="643"/>
        </w:tabs>
        <w:ind w:left="643"/>
        <w:rPr>
          <w:rFonts w:ascii="Garamond" w:hAnsi="Garamond"/>
        </w:rPr>
      </w:pPr>
      <w:r>
        <w:rPr>
          <w:rFonts w:ascii="Garamond" w:hAnsi="Garamond"/>
        </w:rPr>
        <w:t xml:space="preserve">Complete data in Table 1 as obtained in census. </w:t>
      </w:r>
    </w:p>
    <w:p w:rsidR="009107E8" w:rsidRDefault="009107E8" w:rsidP="009107E8">
      <w:pPr>
        <w:numPr>
          <w:ilvl w:val="0"/>
          <w:numId w:val="3"/>
        </w:numPr>
        <w:tabs>
          <w:tab w:val="clear" w:pos="360"/>
          <w:tab w:val="num" w:pos="643"/>
        </w:tabs>
        <w:ind w:left="643"/>
        <w:rPr>
          <w:rFonts w:ascii="Garamond" w:hAnsi="Garamond"/>
        </w:rPr>
      </w:pPr>
      <w:r>
        <w:rPr>
          <w:rFonts w:ascii="Garamond" w:hAnsi="Garamond"/>
        </w:rPr>
        <w:t xml:space="preserve">Calculate Occupational Therapy staff numbers according to ratio and census data. </w:t>
      </w:r>
    </w:p>
    <w:p w:rsidR="009107E8" w:rsidRDefault="009107E8" w:rsidP="009107E8">
      <w:pPr>
        <w:numPr>
          <w:ilvl w:val="0"/>
          <w:numId w:val="3"/>
        </w:numPr>
        <w:tabs>
          <w:tab w:val="clear" w:pos="360"/>
          <w:tab w:val="num" w:pos="643"/>
        </w:tabs>
        <w:ind w:left="643"/>
        <w:rPr>
          <w:rFonts w:ascii="Garamond" w:hAnsi="Garamond"/>
        </w:rPr>
      </w:pPr>
      <w:r>
        <w:rPr>
          <w:rFonts w:ascii="Garamond" w:hAnsi="Garamond"/>
        </w:rPr>
        <w:t xml:space="preserve">Calculate Occupational Therapy Assistant staff numbers according to the indicated ratio of Occupational Therapist to Occupational Therapy Assistant. </w:t>
      </w:r>
    </w:p>
    <w:p w:rsidR="009107E8" w:rsidRDefault="009107E8" w:rsidP="009107E8">
      <w:pPr>
        <w:numPr>
          <w:ilvl w:val="0"/>
          <w:numId w:val="3"/>
        </w:numPr>
        <w:tabs>
          <w:tab w:val="clear" w:pos="360"/>
          <w:tab w:val="num" w:pos="643"/>
        </w:tabs>
        <w:ind w:left="643"/>
        <w:rPr>
          <w:rFonts w:ascii="Garamond" w:hAnsi="Garamond"/>
        </w:rPr>
      </w:pPr>
      <w:r>
        <w:rPr>
          <w:rFonts w:ascii="Garamond" w:hAnsi="Garamond"/>
        </w:rPr>
        <w:t xml:space="preserve">Calculate Assistant Director for each Health region. </w:t>
      </w:r>
    </w:p>
    <w:p w:rsidR="009107E8" w:rsidRDefault="009107E8" w:rsidP="009107E8">
      <w:pPr>
        <w:pStyle w:val="Heading5"/>
      </w:pPr>
    </w:p>
    <w:p w:rsidR="009107E8" w:rsidRDefault="009107E8" w:rsidP="009107E8">
      <w:pPr>
        <w:jc w:val="center"/>
        <w:rPr>
          <w:rFonts w:ascii="Garamond" w:hAnsi="Garamond"/>
          <w:b/>
        </w:rPr>
      </w:pPr>
    </w:p>
    <w:p w:rsidR="009107E8" w:rsidRDefault="009107E8" w:rsidP="009107E8">
      <w:pPr>
        <w:jc w:val="center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Table 1.</w:t>
      </w:r>
      <w:proofErr w:type="gramEnd"/>
    </w:p>
    <w:p w:rsidR="009107E8" w:rsidRDefault="009107E8" w:rsidP="009107E8">
      <w:pPr>
        <w:rPr>
          <w:rFonts w:ascii="Garamond" w:hAnsi="Garamond"/>
          <w:sz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920"/>
        <w:gridCol w:w="1842"/>
        <w:gridCol w:w="1985"/>
        <w:gridCol w:w="1701"/>
      </w:tblGrid>
      <w:tr w:rsidR="009107E8" w:rsidTr="009107E8">
        <w:trPr>
          <w:trHeight w:val="290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Staff &amp; Ratio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 xml:space="preserve">User population in province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Percentage unemployed</w:t>
            </w:r>
          </w:p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Square kilometers</w:t>
            </w:r>
          </w:p>
        </w:tc>
      </w:tr>
      <w:tr w:rsidR="009107E8" w:rsidTr="009107E8">
        <w:trPr>
          <w:trHeight w:val="290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107E8" w:rsidRDefault="009107E8" w:rsidP="009107E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Province specific data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</w:tr>
      <w:tr w:rsidR="009107E8" w:rsidTr="009107E8">
        <w:trPr>
          <w:trHeight w:val="437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 xml:space="preserve">O.T.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</w:tr>
      <w:tr w:rsidR="009107E8" w:rsidTr="009107E8">
        <w:trPr>
          <w:trHeight w:val="437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Ratio to data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 100 000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 : 10 %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 15 000</w:t>
            </w:r>
          </w:p>
        </w:tc>
      </w:tr>
      <w:tr w:rsidR="009107E8" w:rsidTr="009107E8">
        <w:trPr>
          <w:trHeight w:val="437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O.T.A.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</w:tr>
      <w:tr w:rsidR="009107E8" w:rsidTr="009107E8">
        <w:trPr>
          <w:trHeight w:val="437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Ratio to O.T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2 to 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2 to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 to 1</w:t>
            </w:r>
          </w:p>
        </w:tc>
      </w:tr>
      <w:tr w:rsidR="009107E8" w:rsidTr="009107E8">
        <w:trPr>
          <w:trHeight w:val="437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A.D.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</w:tr>
      <w:tr w:rsidR="009107E8" w:rsidTr="009107E8">
        <w:trPr>
          <w:trHeight w:val="437"/>
        </w:trPr>
        <w:tc>
          <w:tcPr>
            <w:tcW w:w="1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 xml:space="preserve">Ratio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 Region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</w:tr>
      <w:tr w:rsidR="009107E8" w:rsidTr="009107E8">
        <w:trPr>
          <w:trHeight w:val="437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</w:tr>
    </w:tbl>
    <w:p w:rsidR="009107E8" w:rsidRDefault="009107E8" w:rsidP="009107E8">
      <w:pPr>
        <w:rPr>
          <w:rFonts w:ascii="Garamond" w:hAnsi="Garamond"/>
          <w:sz w:val="18"/>
        </w:rPr>
      </w:pPr>
    </w:p>
    <w:p w:rsidR="009107E8" w:rsidRDefault="009107E8" w:rsidP="009107E8">
      <w:pPr>
        <w:rPr>
          <w:rFonts w:ascii="Garamond" w:hAnsi="Garamond"/>
          <w:sz w:val="18"/>
        </w:rPr>
      </w:pPr>
    </w:p>
    <w:p w:rsidR="002F135B" w:rsidRDefault="002F135B">
      <w:pPr>
        <w:rPr>
          <w:rFonts w:ascii="Garamond" w:hAnsi="Garamond"/>
        </w:rPr>
      </w:pPr>
    </w:p>
    <w:p w:rsidR="009107E8" w:rsidRDefault="009107E8" w:rsidP="009107E8">
      <w:pPr>
        <w:pStyle w:val="Heading5"/>
      </w:pPr>
      <w:r>
        <w:t>Hospital services</w:t>
      </w:r>
    </w:p>
    <w:p w:rsidR="009107E8" w:rsidRDefault="009107E8" w:rsidP="009107E8">
      <w:pPr>
        <w:numPr>
          <w:ilvl w:val="0"/>
          <w:numId w:val="4"/>
        </w:num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Calculations of hospital services.</w:t>
      </w:r>
    </w:p>
    <w:p w:rsidR="009107E8" w:rsidRDefault="009107E8" w:rsidP="009107E8">
      <w:pPr>
        <w:rPr>
          <w:rFonts w:ascii="Garamond" w:hAnsi="Garamond"/>
          <w:b/>
        </w:rPr>
      </w:pPr>
    </w:p>
    <w:p w:rsidR="009107E8" w:rsidRDefault="009107E8" w:rsidP="009107E8">
      <w:pPr>
        <w:numPr>
          <w:ilvl w:val="0"/>
          <w:numId w:val="5"/>
        </w:numPr>
        <w:tabs>
          <w:tab w:val="clear" w:pos="360"/>
          <w:tab w:val="num" w:pos="643"/>
        </w:tabs>
        <w:ind w:left="643"/>
        <w:rPr>
          <w:rFonts w:ascii="Garamond" w:hAnsi="Garamond"/>
        </w:rPr>
      </w:pPr>
      <w:r>
        <w:rPr>
          <w:rFonts w:ascii="Garamond" w:hAnsi="Garamond"/>
        </w:rPr>
        <w:t>Complete figures as indicated for a specific hospital</w:t>
      </w:r>
    </w:p>
    <w:p w:rsidR="009107E8" w:rsidRDefault="009107E8" w:rsidP="009107E8">
      <w:pPr>
        <w:numPr>
          <w:ilvl w:val="0"/>
          <w:numId w:val="5"/>
        </w:numPr>
        <w:tabs>
          <w:tab w:val="clear" w:pos="360"/>
          <w:tab w:val="num" w:pos="643"/>
        </w:tabs>
        <w:ind w:left="643"/>
        <w:rPr>
          <w:rFonts w:ascii="Garamond" w:hAnsi="Garamond"/>
        </w:rPr>
      </w:pPr>
      <w:r>
        <w:rPr>
          <w:rFonts w:ascii="Garamond" w:hAnsi="Garamond"/>
        </w:rPr>
        <w:t>Calculate Occupational Therapy staff numbers according to data and ratio.</w:t>
      </w:r>
    </w:p>
    <w:p w:rsidR="009107E8" w:rsidRDefault="009107E8" w:rsidP="009107E8">
      <w:pPr>
        <w:numPr>
          <w:ilvl w:val="0"/>
          <w:numId w:val="3"/>
        </w:numPr>
        <w:tabs>
          <w:tab w:val="clear" w:pos="360"/>
          <w:tab w:val="num" w:pos="643"/>
        </w:tabs>
        <w:ind w:left="643"/>
        <w:rPr>
          <w:rFonts w:ascii="Garamond" w:hAnsi="Garamond"/>
        </w:rPr>
      </w:pPr>
      <w:r>
        <w:rPr>
          <w:rFonts w:ascii="Garamond" w:hAnsi="Garamond"/>
        </w:rPr>
        <w:t xml:space="preserve">Calculate Occupational Therapy Assistant staff numbers according to indicated Occupational Therapist to Occupational Therapy Assistant ratio. </w:t>
      </w:r>
    </w:p>
    <w:p w:rsidR="009107E8" w:rsidRDefault="009107E8" w:rsidP="009107E8">
      <w:pPr>
        <w:numPr>
          <w:ilvl w:val="0"/>
          <w:numId w:val="5"/>
        </w:numPr>
        <w:tabs>
          <w:tab w:val="clear" w:pos="360"/>
          <w:tab w:val="num" w:pos="643"/>
        </w:tabs>
        <w:ind w:left="643"/>
        <w:rPr>
          <w:rFonts w:ascii="Garamond" w:hAnsi="Garamond"/>
        </w:rPr>
      </w:pPr>
      <w:r>
        <w:rPr>
          <w:rFonts w:ascii="Garamond" w:hAnsi="Garamond"/>
        </w:rPr>
        <w:t>Calculate Assistant Director as indicated by ratio. (Hospitals with less than 15 staff members in total will not qualify for an Assistant Director’s post.</w:t>
      </w:r>
    </w:p>
    <w:p w:rsidR="009107E8" w:rsidRDefault="009107E8" w:rsidP="009107E8">
      <w:pPr>
        <w:rPr>
          <w:rFonts w:ascii="Garamond" w:hAnsi="Garamond"/>
          <w:sz w:val="18"/>
        </w:rPr>
      </w:pPr>
    </w:p>
    <w:p w:rsidR="009107E8" w:rsidRDefault="009107E8" w:rsidP="009107E8">
      <w:pPr>
        <w:rPr>
          <w:rFonts w:ascii="Garamond" w:hAnsi="Garamond"/>
          <w:sz w:val="18"/>
        </w:rPr>
      </w:pPr>
    </w:p>
    <w:p w:rsidR="009107E8" w:rsidRDefault="009107E8" w:rsidP="009107E8">
      <w:pPr>
        <w:rPr>
          <w:rFonts w:ascii="Garamond" w:hAnsi="Garamond"/>
          <w:sz w:val="18"/>
        </w:rPr>
      </w:pPr>
    </w:p>
    <w:p w:rsidR="009107E8" w:rsidRDefault="009107E8" w:rsidP="009107E8">
      <w:pPr>
        <w:jc w:val="center"/>
        <w:rPr>
          <w:rFonts w:ascii="Garamond" w:hAnsi="Garamond"/>
          <w:b/>
        </w:rPr>
      </w:pPr>
    </w:p>
    <w:p w:rsidR="009107E8" w:rsidRDefault="009107E8" w:rsidP="009107E8">
      <w:pPr>
        <w:jc w:val="center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Table 2.</w:t>
      </w:r>
      <w:proofErr w:type="gramEnd"/>
    </w:p>
    <w:p w:rsidR="009107E8" w:rsidRDefault="009107E8" w:rsidP="009107E8">
      <w:pPr>
        <w:rPr>
          <w:rFonts w:ascii="Garamond" w:hAnsi="Garamond"/>
          <w:sz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470"/>
        <w:gridCol w:w="630"/>
        <w:gridCol w:w="630"/>
        <w:gridCol w:w="630"/>
        <w:gridCol w:w="567"/>
        <w:gridCol w:w="709"/>
        <w:gridCol w:w="567"/>
        <w:gridCol w:w="1127"/>
        <w:gridCol w:w="1080"/>
        <w:gridCol w:w="990"/>
        <w:gridCol w:w="990"/>
      </w:tblGrid>
      <w:tr w:rsidR="009107E8" w:rsidTr="009107E8">
        <w:trPr>
          <w:cantSplit/>
          <w:trHeight w:val="29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Staff &amp; Ratio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Bed number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Spinal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Psych unit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 xml:space="preserve">Burns </w:t>
            </w:r>
          </w:p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Beds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 xml:space="preserve">Work </w:t>
            </w:r>
          </w:p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unit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 xml:space="preserve">Hand </w:t>
            </w:r>
          </w:p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unit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pStyle w:val="Heading1"/>
              <w:rPr>
                <w:rFonts w:ascii="Garamond" w:hAnsi="Garamond"/>
                <w:b/>
                <w:snapToGrid w:val="0"/>
                <w:sz w:val="20"/>
                <w:lang w:val="en-US"/>
              </w:rPr>
            </w:pPr>
            <w:r>
              <w:rPr>
                <w:rFonts w:ascii="Garamond" w:hAnsi="Garamond"/>
                <w:b/>
                <w:snapToGrid w:val="0"/>
                <w:sz w:val="20"/>
                <w:lang w:val="en-US"/>
              </w:rPr>
              <w:t>Total</w:t>
            </w:r>
          </w:p>
        </w:tc>
      </w:tr>
      <w:tr w:rsidR="009107E8" w:rsidTr="009107E8">
        <w:trPr>
          <w:trHeight w:val="290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Level 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Level 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Level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Chronic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Acute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center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</w:tr>
      <w:tr w:rsidR="009107E8" w:rsidTr="009107E8">
        <w:trPr>
          <w:trHeight w:val="437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 xml:space="preserve">O.T.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</w:tr>
      <w:tr w:rsidR="009107E8" w:rsidTr="009107E8">
        <w:trPr>
          <w:trHeight w:val="437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Ratio to numbers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 300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 120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 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 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 xml:space="preserve">1: 30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 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 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 : 15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</w:tr>
      <w:tr w:rsidR="009107E8" w:rsidTr="009107E8">
        <w:trPr>
          <w:trHeight w:val="437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O.T.A.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</w:tr>
      <w:tr w:rsidR="009107E8" w:rsidTr="009107E8">
        <w:trPr>
          <w:trHeight w:val="437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Ratio to O.T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0.5: 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0.5 : 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0.5: 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 to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2:1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 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0.5: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1:50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</w:tr>
      <w:tr w:rsidR="009107E8" w:rsidTr="009107E8">
        <w:trPr>
          <w:trHeight w:val="437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A.D.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</w:tr>
      <w:tr w:rsidR="009107E8" w:rsidTr="009107E8">
        <w:trPr>
          <w:trHeight w:val="437"/>
        </w:trPr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 xml:space="preserve">Ratio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1:15 per</w:t>
            </w:r>
          </w:p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hosp</w:t>
            </w:r>
          </w:p>
        </w:tc>
      </w:tr>
      <w:tr w:rsidR="009107E8" w:rsidTr="009107E8">
        <w:trPr>
          <w:trHeight w:val="437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TOTAL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107E8" w:rsidRDefault="009107E8" w:rsidP="001B7608">
            <w:pPr>
              <w:jc w:val="right"/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</w:p>
        </w:tc>
      </w:tr>
    </w:tbl>
    <w:p w:rsidR="009107E8" w:rsidRDefault="009107E8" w:rsidP="009107E8">
      <w:pPr>
        <w:rPr>
          <w:rFonts w:ascii="Garamond" w:hAnsi="Garamond"/>
          <w:sz w:val="18"/>
        </w:rPr>
      </w:pPr>
    </w:p>
    <w:p w:rsidR="009107E8" w:rsidRDefault="009107E8" w:rsidP="009107E8">
      <w:pPr>
        <w:rPr>
          <w:rFonts w:ascii="Garamond" w:hAnsi="Garamond"/>
          <w:sz w:val="18"/>
        </w:rPr>
      </w:pPr>
    </w:p>
    <w:p w:rsidR="009107E8" w:rsidRDefault="009107E8" w:rsidP="009107E8">
      <w:pPr>
        <w:rPr>
          <w:rFonts w:ascii="Garamond" w:hAnsi="Garamond"/>
          <w:sz w:val="18"/>
        </w:rPr>
      </w:pPr>
    </w:p>
    <w:p w:rsidR="00B93232" w:rsidRDefault="00B93232" w:rsidP="009107E8">
      <w:pPr>
        <w:pStyle w:val="Heading5"/>
      </w:pPr>
    </w:p>
    <w:p w:rsidR="009107E8" w:rsidRDefault="009107E8" w:rsidP="009107E8">
      <w:pPr>
        <w:pStyle w:val="Heading5"/>
      </w:pPr>
      <w:r>
        <w:t>Indicators</w:t>
      </w:r>
    </w:p>
    <w:p w:rsidR="009107E8" w:rsidRDefault="009107E8" w:rsidP="009107E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Table 3</w:t>
      </w:r>
    </w:p>
    <w:p w:rsidR="009107E8" w:rsidRDefault="009107E8" w:rsidP="009107E8">
      <w:pPr>
        <w:jc w:val="center"/>
        <w:rPr>
          <w:rFonts w:ascii="Garamond" w:hAnsi="Garamond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871"/>
      </w:tblGrid>
      <w:tr w:rsidR="009107E8" w:rsidTr="009107E8">
        <w:tc>
          <w:tcPr>
            <w:tcW w:w="3119" w:type="dxa"/>
          </w:tcPr>
          <w:p w:rsidR="009107E8" w:rsidRDefault="009107E8" w:rsidP="001B7608">
            <w:pPr>
              <w:rPr>
                <w:rFonts w:ascii="Garamond" w:hAnsi="Garamond"/>
                <w:b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b/>
                <w:snapToGrid w:val="0"/>
                <w:color w:val="000000"/>
                <w:lang w:val="en-US"/>
              </w:rPr>
              <w:t>Indicator</w:t>
            </w:r>
          </w:p>
        </w:tc>
        <w:tc>
          <w:tcPr>
            <w:tcW w:w="6871" w:type="dxa"/>
          </w:tcPr>
          <w:p w:rsidR="009107E8" w:rsidRDefault="009107E8" w:rsidP="001B7608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>Explanation</w:t>
            </w:r>
          </w:p>
        </w:tc>
      </w:tr>
      <w:tr w:rsidR="009107E8" w:rsidTr="009107E8">
        <w:tc>
          <w:tcPr>
            <w:tcW w:w="3119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User population in province</w:t>
            </w:r>
          </w:p>
        </w:tc>
        <w:tc>
          <w:tcPr>
            <w:tcW w:w="6871" w:type="dxa"/>
          </w:tcPr>
          <w:p w:rsidR="009107E8" w:rsidRDefault="009107E8" w:rsidP="001B7608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This figure is obtained from the census. The user population is approximately 75% of the actual population</w:t>
            </w:r>
          </w:p>
        </w:tc>
      </w:tr>
      <w:tr w:rsidR="009107E8" w:rsidTr="009107E8">
        <w:tc>
          <w:tcPr>
            <w:tcW w:w="3119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 xml:space="preserve">Percentage unemployment </w:t>
            </w:r>
          </w:p>
        </w:tc>
        <w:tc>
          <w:tcPr>
            <w:tcW w:w="6871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This figure is obtained from the census</w:t>
            </w:r>
          </w:p>
        </w:tc>
      </w:tr>
      <w:tr w:rsidR="009107E8" w:rsidTr="009107E8">
        <w:tc>
          <w:tcPr>
            <w:tcW w:w="3119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Square kilometers</w:t>
            </w:r>
          </w:p>
        </w:tc>
        <w:tc>
          <w:tcPr>
            <w:tcW w:w="6871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This figure is obtained from the census</w:t>
            </w:r>
          </w:p>
        </w:tc>
      </w:tr>
      <w:tr w:rsidR="009107E8" w:rsidTr="009107E8">
        <w:tc>
          <w:tcPr>
            <w:tcW w:w="3119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Bed Number Level 1</w:t>
            </w:r>
          </w:p>
        </w:tc>
        <w:tc>
          <w:tcPr>
            <w:tcW w:w="6871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Level 1 bed refers to basic medical care beds. These beds may be in a district/regional or in an academic hospital</w:t>
            </w:r>
          </w:p>
        </w:tc>
      </w:tr>
      <w:tr w:rsidR="009107E8" w:rsidTr="009107E8">
        <w:tc>
          <w:tcPr>
            <w:tcW w:w="3119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Bed Number Level 2</w:t>
            </w:r>
          </w:p>
        </w:tc>
        <w:tc>
          <w:tcPr>
            <w:tcW w:w="6871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 xml:space="preserve">Level 2 bed refers to patient in the sub acute phase, </w:t>
            </w:r>
            <w:proofErr w:type="gramStart"/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who</w:t>
            </w:r>
            <w:proofErr w:type="gramEnd"/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 xml:space="preserve"> is medically stable. These beds may be in a district/regional or in an academic hospital</w:t>
            </w:r>
          </w:p>
        </w:tc>
      </w:tr>
      <w:tr w:rsidR="009107E8" w:rsidTr="009107E8">
        <w:tc>
          <w:tcPr>
            <w:tcW w:w="3119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Bed Number Level 3</w:t>
            </w:r>
          </w:p>
        </w:tc>
        <w:tc>
          <w:tcPr>
            <w:tcW w:w="6871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 xml:space="preserve">Level 3 </w:t>
            </w:r>
            <w:proofErr w:type="gramStart"/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bed</w:t>
            </w:r>
            <w:proofErr w:type="gramEnd"/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 xml:space="preserve"> refers to acute medical care beds. These beds may be in a regional or in an academic hospital</w:t>
            </w:r>
          </w:p>
        </w:tc>
      </w:tr>
      <w:tr w:rsidR="009107E8" w:rsidTr="009107E8">
        <w:tc>
          <w:tcPr>
            <w:tcW w:w="3119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Spinal/ Rehab Unit</w:t>
            </w:r>
          </w:p>
        </w:tc>
        <w:tc>
          <w:tcPr>
            <w:tcW w:w="6871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Spinal/Rehab beds refer to specific beds allocated for spinal and rehab. These beds may be in a district/regional or in an academic hospital</w:t>
            </w:r>
          </w:p>
        </w:tc>
      </w:tr>
      <w:tr w:rsidR="009107E8" w:rsidTr="009107E8">
        <w:tc>
          <w:tcPr>
            <w:tcW w:w="3119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Psych unit – chronic</w:t>
            </w:r>
          </w:p>
        </w:tc>
        <w:tc>
          <w:tcPr>
            <w:tcW w:w="6871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Psych - chronic beds refer to specific beds allocated for long term psych patients, these beds may be in a district/regional/special or in an academic hospital</w:t>
            </w:r>
          </w:p>
        </w:tc>
      </w:tr>
      <w:tr w:rsidR="009107E8" w:rsidTr="009107E8">
        <w:tc>
          <w:tcPr>
            <w:tcW w:w="3119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Psych unit – acute</w:t>
            </w:r>
          </w:p>
        </w:tc>
        <w:tc>
          <w:tcPr>
            <w:tcW w:w="6871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Psych - acute beds refer to specific beds allocated for short-term psych patients. These beds may be in a district/regional/special or in an academic hospital</w:t>
            </w:r>
          </w:p>
        </w:tc>
      </w:tr>
      <w:tr w:rsidR="009107E8" w:rsidTr="009107E8">
        <w:tc>
          <w:tcPr>
            <w:tcW w:w="3119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Burns Beds</w:t>
            </w:r>
          </w:p>
        </w:tc>
        <w:tc>
          <w:tcPr>
            <w:tcW w:w="6871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Burns beds refer to specific beds allocated for burns patients. These beds may be in a regional or in an academic hospital</w:t>
            </w:r>
          </w:p>
        </w:tc>
      </w:tr>
      <w:tr w:rsidR="009107E8" w:rsidTr="009107E8">
        <w:tc>
          <w:tcPr>
            <w:tcW w:w="3119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Work unit</w:t>
            </w:r>
          </w:p>
        </w:tc>
        <w:tc>
          <w:tcPr>
            <w:tcW w:w="6871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The work unit number is allocated by averaging the monthly head counts.</w:t>
            </w:r>
          </w:p>
        </w:tc>
      </w:tr>
      <w:tr w:rsidR="009107E8" w:rsidTr="009107E8">
        <w:tc>
          <w:tcPr>
            <w:tcW w:w="3119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Hand unit</w:t>
            </w:r>
          </w:p>
        </w:tc>
        <w:tc>
          <w:tcPr>
            <w:tcW w:w="6871" w:type="dxa"/>
          </w:tcPr>
          <w:p w:rsidR="009107E8" w:rsidRDefault="009107E8" w:rsidP="001B7608">
            <w:pP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sz w:val="20"/>
                <w:lang w:val="en-US"/>
              </w:rPr>
              <w:t>The hand unit number is allocated by averaging the monthly head counts.</w:t>
            </w:r>
          </w:p>
        </w:tc>
      </w:tr>
    </w:tbl>
    <w:p w:rsidR="009107E8" w:rsidRDefault="009107E8" w:rsidP="009107E8">
      <w:pPr>
        <w:rPr>
          <w:rFonts w:ascii="Garamond" w:hAnsi="Garamond"/>
          <w:sz w:val="18"/>
        </w:rPr>
      </w:pPr>
    </w:p>
    <w:p w:rsidR="002F135B" w:rsidRDefault="002F135B">
      <w:pPr>
        <w:pStyle w:val="Heading2"/>
        <w:rPr>
          <w:rFonts w:ascii="Garamond" w:hAnsi="Garamond"/>
          <w:sz w:val="24"/>
        </w:rPr>
      </w:pPr>
      <w:proofErr w:type="gramStart"/>
      <w:r>
        <w:rPr>
          <w:rFonts w:ascii="Garamond" w:hAnsi="Garamond"/>
          <w:sz w:val="24"/>
        </w:rPr>
        <w:t>Census data – 1996.</w:t>
      </w:r>
      <w:proofErr w:type="gramEnd"/>
    </w:p>
    <w:p w:rsidR="002F135B" w:rsidRDefault="002F135B">
      <w:pPr>
        <w:rPr>
          <w:rFonts w:ascii="Garamond" w:hAnsi="Garamond"/>
        </w:rPr>
      </w:pPr>
    </w:p>
    <w:p w:rsidR="002F135B" w:rsidRDefault="002F135B">
      <w:pPr>
        <w:pStyle w:val="Heading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Table 4</w:t>
      </w:r>
    </w:p>
    <w:p w:rsidR="002F135B" w:rsidRDefault="002F135B">
      <w:pPr>
        <w:jc w:val="center"/>
        <w:rPr>
          <w:rFonts w:ascii="Garamond" w:hAnsi="Garamond"/>
          <w:sz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015"/>
        <w:gridCol w:w="1559"/>
        <w:gridCol w:w="1701"/>
        <w:gridCol w:w="1418"/>
      </w:tblGrid>
      <w:tr w:rsidR="002F135B">
        <w:trPr>
          <w:trHeight w:val="262"/>
        </w:trPr>
        <w:tc>
          <w:tcPr>
            <w:tcW w:w="201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</w:p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</w:p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Province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</w:p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</w:p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Population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</w:p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% Unemployment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</w:p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</w:p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Square kilometers</w:t>
            </w:r>
          </w:p>
        </w:tc>
      </w:tr>
      <w:tr w:rsidR="002F135B">
        <w:trPr>
          <w:trHeight w:val="196"/>
        </w:trPr>
        <w:tc>
          <w:tcPr>
            <w:tcW w:w="201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</w:p>
        </w:tc>
      </w:tr>
      <w:tr w:rsidR="002F135B">
        <w:trPr>
          <w:trHeight w:val="262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E Cape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6 302 525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48,5%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169580</w:t>
            </w:r>
          </w:p>
        </w:tc>
      </w:tr>
      <w:tr w:rsidR="002F135B">
        <w:trPr>
          <w:trHeight w:val="262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Northern Province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4 929 368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46%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123910</w:t>
            </w:r>
          </w:p>
        </w:tc>
      </w:tr>
      <w:tr w:rsidR="002F135B">
        <w:trPr>
          <w:trHeight w:val="262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KZN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8 417 021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39,1 %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92100</w:t>
            </w:r>
          </w:p>
        </w:tc>
      </w:tr>
      <w:tr w:rsidR="002F135B">
        <w:trPr>
          <w:trHeight w:val="262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North West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3 354 825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37,9 %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116320</w:t>
            </w:r>
          </w:p>
        </w:tc>
      </w:tr>
      <w:tr w:rsidR="002F135B">
        <w:trPr>
          <w:trHeight w:val="262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Mpumalanga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2 800 711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32,9 %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79490</w:t>
            </w:r>
          </w:p>
        </w:tc>
      </w:tr>
      <w:tr w:rsidR="002F135B">
        <w:trPr>
          <w:trHeight w:val="262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Free State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2 633 504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30%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129480</w:t>
            </w:r>
          </w:p>
        </w:tc>
      </w:tr>
      <w:tr w:rsidR="002F135B">
        <w:trPr>
          <w:trHeight w:val="262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Northern Cape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840 321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28,5 %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361830</w:t>
            </w:r>
          </w:p>
        </w:tc>
      </w:tr>
      <w:tr w:rsidR="002F135B">
        <w:trPr>
          <w:trHeight w:val="262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Gauteng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7 348 423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28,2 %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17010</w:t>
            </w:r>
          </w:p>
        </w:tc>
      </w:tr>
      <w:tr w:rsidR="002F135B">
        <w:trPr>
          <w:trHeight w:val="262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Western Cape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3 956 875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17,9 %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129370</w:t>
            </w:r>
          </w:p>
        </w:tc>
      </w:tr>
      <w:tr w:rsidR="002F135B">
        <w:trPr>
          <w:trHeight w:val="276"/>
        </w:trPr>
        <w:tc>
          <w:tcPr>
            <w:tcW w:w="20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40 583 573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33,9  %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135B" w:rsidRDefault="002F135B">
            <w:pPr>
              <w:jc w:val="center"/>
              <w:rPr>
                <w:rFonts w:ascii="Garamond" w:hAnsi="Garamond"/>
                <w:snapToGrid w:val="0"/>
                <w:color w:val="000000"/>
                <w:lang w:val="en-US"/>
              </w:rPr>
            </w:pPr>
            <w:r>
              <w:rPr>
                <w:rFonts w:ascii="Garamond" w:hAnsi="Garamond"/>
                <w:snapToGrid w:val="0"/>
                <w:color w:val="000000"/>
                <w:lang w:val="en-US"/>
              </w:rPr>
              <w:t>1219090</w:t>
            </w:r>
          </w:p>
        </w:tc>
      </w:tr>
    </w:tbl>
    <w:p w:rsidR="002F135B" w:rsidRDefault="002F135B">
      <w:pPr>
        <w:jc w:val="right"/>
        <w:rPr>
          <w:rFonts w:ascii="Garamond" w:hAnsi="Garamond"/>
          <w:sz w:val="18"/>
        </w:rPr>
      </w:pPr>
    </w:p>
    <w:p w:rsidR="002F135B" w:rsidRDefault="002F135B">
      <w:pPr>
        <w:jc w:val="right"/>
        <w:rPr>
          <w:rFonts w:ascii="Garamond" w:hAnsi="Garamond"/>
          <w:sz w:val="18"/>
        </w:rPr>
      </w:pPr>
    </w:p>
    <w:p w:rsidR="002F135B" w:rsidRDefault="002F135B">
      <w:pPr>
        <w:rPr>
          <w:rFonts w:ascii="Garamond" w:hAnsi="Garamond"/>
          <w:sz w:val="18"/>
        </w:rPr>
      </w:pPr>
    </w:p>
    <w:p w:rsidR="002F135B" w:rsidRDefault="002F135B">
      <w:pPr>
        <w:jc w:val="right"/>
        <w:rPr>
          <w:rFonts w:ascii="Garamond" w:hAnsi="Garamond"/>
          <w:sz w:val="18"/>
        </w:rPr>
      </w:pPr>
    </w:p>
    <w:p w:rsidR="002F135B" w:rsidRDefault="002F135B">
      <w:pPr>
        <w:rPr>
          <w:rFonts w:ascii="Garamond" w:hAnsi="Garamond"/>
        </w:rPr>
      </w:pPr>
    </w:p>
    <w:p w:rsidR="002F135B" w:rsidRDefault="002F135B">
      <w:pPr>
        <w:rPr>
          <w:rFonts w:ascii="Garamond" w:hAnsi="Garamond"/>
          <w:sz w:val="18"/>
        </w:rPr>
      </w:pPr>
    </w:p>
    <w:p w:rsidR="002F135B" w:rsidRDefault="002F135B">
      <w:pPr>
        <w:rPr>
          <w:rFonts w:ascii="Garamond" w:hAnsi="Garamond"/>
          <w:sz w:val="18"/>
        </w:rPr>
      </w:pPr>
    </w:p>
    <w:p w:rsidR="002F135B" w:rsidRDefault="002F135B">
      <w:pPr>
        <w:rPr>
          <w:rFonts w:ascii="Garamond" w:hAnsi="Garamond"/>
          <w:sz w:val="18"/>
        </w:rPr>
      </w:pPr>
    </w:p>
    <w:p w:rsidR="002F135B" w:rsidRDefault="002F135B">
      <w:pPr>
        <w:rPr>
          <w:rFonts w:ascii="Garamond" w:hAnsi="Garamond"/>
          <w:sz w:val="18"/>
        </w:rPr>
      </w:pPr>
    </w:p>
    <w:p w:rsidR="002F135B" w:rsidRDefault="002F135B">
      <w:pPr>
        <w:rPr>
          <w:rFonts w:ascii="Garamond" w:hAnsi="Garamond"/>
          <w:sz w:val="18"/>
        </w:rPr>
      </w:pPr>
    </w:p>
    <w:sectPr w:rsidR="002F135B" w:rsidSect="00CD5028">
      <w:pgSz w:w="12242" w:h="15842" w:code="1"/>
      <w:pgMar w:top="567" w:right="851" w:bottom="567" w:left="851" w:header="720" w:footer="720" w:gutter="0"/>
      <w:cols w:space="851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78C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>
    <w:nsid w:val="1D882C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94418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>
    <w:nsid w:val="318F7A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70F08C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45ED45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F0402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1C5FC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>
    <w:nsid w:val="5159169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78703A1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791149F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7CC739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8960AE"/>
    <w:rsid w:val="002435E4"/>
    <w:rsid w:val="002D0006"/>
    <w:rsid w:val="002F135B"/>
    <w:rsid w:val="00870F4E"/>
    <w:rsid w:val="008960AE"/>
    <w:rsid w:val="008A0154"/>
    <w:rsid w:val="009107E8"/>
    <w:rsid w:val="00B93232"/>
    <w:rsid w:val="00BF6793"/>
    <w:rsid w:val="00CD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F4E"/>
    <w:rPr>
      <w:rFonts w:ascii="Arial" w:hAnsi="Arial"/>
      <w:sz w:val="24"/>
      <w:lang w:val="en-ZA"/>
    </w:rPr>
  </w:style>
  <w:style w:type="paragraph" w:styleId="Heading1">
    <w:name w:val="heading 1"/>
    <w:basedOn w:val="Normal"/>
    <w:next w:val="Normal"/>
    <w:qFormat/>
    <w:rsid w:val="00870F4E"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rsid w:val="00870F4E"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870F4E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870F4E"/>
    <w:pPr>
      <w:keepNext/>
      <w:outlineLvl w:val="3"/>
    </w:pPr>
    <w:rPr>
      <w:rFonts w:ascii="Garamond" w:hAnsi="Garamond"/>
      <w:b/>
    </w:rPr>
  </w:style>
  <w:style w:type="paragraph" w:styleId="Heading5">
    <w:name w:val="heading 5"/>
    <w:basedOn w:val="Normal"/>
    <w:next w:val="Normal"/>
    <w:qFormat/>
    <w:rsid w:val="00870F4E"/>
    <w:pPr>
      <w:keepNext/>
      <w:jc w:val="center"/>
      <w:outlineLvl w:val="4"/>
    </w:pPr>
    <w:rPr>
      <w:rFonts w:ascii="Garamond" w:hAnsi="Garamond"/>
      <w:b/>
    </w:rPr>
  </w:style>
  <w:style w:type="paragraph" w:styleId="Heading6">
    <w:name w:val="heading 6"/>
    <w:basedOn w:val="Normal"/>
    <w:next w:val="Normal"/>
    <w:qFormat/>
    <w:rsid w:val="00870F4E"/>
    <w:pPr>
      <w:keepNext/>
      <w:outlineLvl w:val="5"/>
    </w:pPr>
    <w:rPr>
      <w:rFonts w:ascii="Garamond" w:hAnsi="Garamond"/>
      <w:b/>
      <w:sz w:val="28"/>
      <w:u w:val="single"/>
    </w:rPr>
  </w:style>
  <w:style w:type="paragraph" w:styleId="Heading7">
    <w:name w:val="heading 7"/>
    <w:basedOn w:val="Normal"/>
    <w:next w:val="Normal"/>
    <w:qFormat/>
    <w:rsid w:val="00870F4E"/>
    <w:pPr>
      <w:keepNext/>
      <w:outlineLvl w:val="6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70F4E"/>
    <w:rPr>
      <w:sz w:val="22"/>
    </w:rPr>
  </w:style>
  <w:style w:type="paragraph" w:styleId="BodyText2">
    <w:name w:val="Body Text 2"/>
    <w:basedOn w:val="Normal"/>
    <w:rsid w:val="00870F4E"/>
    <w:rPr>
      <w:rFonts w:ascii="Garamond" w:hAnsi="Garamond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Therapy</vt:lpstr>
    </vt:vector>
  </TitlesOfParts>
  <Company> 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:subject/>
  <dc:creator>DUDU MOKABA</dc:creator>
  <cp:keywords/>
  <dc:description/>
  <cp:lastModifiedBy>ElmaB</cp:lastModifiedBy>
  <cp:revision>4</cp:revision>
  <cp:lastPrinted>2000-10-12T09:51:00Z</cp:lastPrinted>
  <dcterms:created xsi:type="dcterms:W3CDTF">2010-10-01T18:42:00Z</dcterms:created>
  <dcterms:modified xsi:type="dcterms:W3CDTF">2011-11-22T13:01:00Z</dcterms:modified>
</cp:coreProperties>
</file>